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50FFBA5" w14:textId="2CAEA454" w:rsidR="00B70E6D" w:rsidRPr="00B70E6D" w:rsidRDefault="004F7450" w:rsidP="004F7450">
      <w:pPr>
        <w:autoSpaceDE w:val="0"/>
        <w:autoSpaceDN w:val="0"/>
        <w:adjustRightInd w:val="0"/>
        <w:spacing w:after="0" w:line="480" w:lineRule="auto"/>
        <w:rPr>
          <w:rFonts w:ascii="TimesNewRoman" w:hAnsi="TimesNewRoman" w:cs="TimesNewRoman"/>
          <w:b/>
          <w:bCs/>
          <w:sz w:val="24"/>
          <w:szCs w:val="24"/>
        </w:rPr>
      </w:pPr>
      <w:r w:rsidRPr="00B70E6D">
        <w:rPr>
          <w:rFonts w:ascii="TimesNewRoman" w:hAnsi="TimesNewRoman" w:cs="TimesNewRoman"/>
          <w:b/>
          <w:bCs/>
          <w:sz w:val="24"/>
          <w:szCs w:val="24"/>
        </w:rPr>
        <w:t xml:space="preserve">  </w:t>
      </w:r>
      <w:r w:rsidR="00B70E6D" w:rsidRPr="00B70E6D">
        <w:rPr>
          <w:rFonts w:ascii="TimesNewRoman" w:hAnsi="TimesNewRoman" w:cs="TimesNewRoman"/>
          <w:b/>
          <w:bCs/>
          <w:sz w:val="24"/>
          <w:szCs w:val="24"/>
        </w:rPr>
        <w:t xml:space="preserve">                                                     (Example </w:t>
      </w:r>
      <w:r w:rsidR="00B70E6D" w:rsidRPr="00B70E6D">
        <w:rPr>
          <w:b/>
          <w:bCs/>
        </w:rPr>
        <w:t>Sustainability)</w:t>
      </w:r>
    </w:p>
    <w:p w14:paraId="1C5BFA69" w14:textId="40015D7A" w:rsidR="004F7450" w:rsidRDefault="00B70E6D" w:rsidP="004F7450">
      <w:pPr>
        <w:autoSpaceDE w:val="0"/>
        <w:autoSpaceDN w:val="0"/>
        <w:adjustRightInd w:val="0"/>
        <w:spacing w:after="0" w:line="480" w:lineRule="auto"/>
        <w:rPr>
          <w:rFonts w:ascii="TimesNewRoman" w:hAnsi="TimesNewRoman" w:cs="TimesNewRoman"/>
          <w:sz w:val="24"/>
          <w:szCs w:val="24"/>
        </w:rPr>
      </w:pPr>
      <w:r>
        <w:rPr>
          <w:rFonts w:ascii="TimesNewRoman" w:hAnsi="TimesNewRoman" w:cs="TimesNewRoman"/>
          <w:sz w:val="24"/>
          <w:szCs w:val="24"/>
        </w:rPr>
        <w:t xml:space="preserve">     </w:t>
      </w:r>
      <w:r w:rsidR="004F7450">
        <w:rPr>
          <w:rFonts w:ascii="TimesNewRoman" w:hAnsi="TimesNewRoman" w:cs="TimesNewRoman"/>
          <w:sz w:val="24"/>
          <w:szCs w:val="24"/>
        </w:rPr>
        <w:t xml:space="preserve">  The idea of cradle-to-gate sustainability has become a popular topic within pavement design to</w:t>
      </w:r>
      <w:r>
        <w:rPr>
          <w:rFonts w:ascii="TimesNewRoman" w:hAnsi="TimesNewRoman" w:cs="TimesNewRoman"/>
          <w:sz w:val="24"/>
          <w:szCs w:val="24"/>
        </w:rPr>
        <w:t xml:space="preserve"> </w:t>
      </w:r>
      <w:r w:rsidR="004F7450">
        <w:rPr>
          <w:rFonts w:ascii="TimesNewRoman" w:hAnsi="TimesNewRoman" w:cs="TimesNewRoman"/>
          <w:sz w:val="24"/>
          <w:szCs w:val="24"/>
        </w:rPr>
        <w:t>ensure that the economic, environmental and social impacts are considered. This creates a need to create a uniform way to analyze and compare different alternatives to pavement design. A popular approach to determine the environmental impact is to use the life cycle assessment (LCA) which requires multiple resources to compile the required data. Additionally, “there is…a direct relationship between data availability and the accuracy of the results.” (</w:t>
      </w:r>
      <w:proofErr w:type="spellStart"/>
      <w:r w:rsidR="004F7450">
        <w:rPr>
          <w:rFonts w:ascii="TimesNewRoman" w:hAnsi="TimesNewRoman" w:cs="TimesNewRoman"/>
          <w:sz w:val="24"/>
          <w:szCs w:val="24"/>
        </w:rPr>
        <w:t>Subedi</w:t>
      </w:r>
      <w:proofErr w:type="spellEnd"/>
      <w:r w:rsidR="004F7450">
        <w:rPr>
          <w:rFonts w:ascii="TimesNewRoman" w:hAnsi="TimesNewRoman" w:cs="TimesNewRoman"/>
          <w:sz w:val="24"/>
          <w:szCs w:val="24"/>
        </w:rPr>
        <w:t xml:space="preserve"> et al. 2018). The combination of this and the lack of standardized assumptions and methodologies, means that the data complied is difficult to compare amongst different designs. Measurement tools like</w:t>
      </w:r>
    </w:p>
    <w:p w14:paraId="0FA255EE" w14:textId="77777777" w:rsidR="004F7450" w:rsidRDefault="004F7450" w:rsidP="004F7450">
      <w:pPr>
        <w:autoSpaceDE w:val="0"/>
        <w:autoSpaceDN w:val="0"/>
        <w:adjustRightInd w:val="0"/>
        <w:spacing w:after="0" w:line="480" w:lineRule="auto"/>
        <w:rPr>
          <w:rFonts w:ascii="TimesNewRoman" w:hAnsi="TimesNewRoman" w:cs="TimesNewRoman"/>
          <w:sz w:val="24"/>
          <w:szCs w:val="24"/>
        </w:rPr>
      </w:pPr>
      <w:r>
        <w:rPr>
          <w:rFonts w:ascii="TimesNewRoman" w:hAnsi="TimesNewRoman" w:cs="TimesNewRoman"/>
          <w:sz w:val="24"/>
          <w:szCs w:val="24"/>
        </w:rPr>
        <w:t>ATHENA, ROAD-RES, and Project Emission Estimator are all LCA based tools that suffer from</w:t>
      </w:r>
    </w:p>
    <w:p w14:paraId="61C73F62" w14:textId="77777777" w:rsidR="004F7450" w:rsidRDefault="004F7450" w:rsidP="004F7450">
      <w:pPr>
        <w:autoSpaceDE w:val="0"/>
        <w:autoSpaceDN w:val="0"/>
        <w:adjustRightInd w:val="0"/>
        <w:spacing w:after="0" w:line="480" w:lineRule="auto"/>
        <w:rPr>
          <w:rFonts w:ascii="TimesNewRoman" w:hAnsi="TimesNewRoman" w:cs="TimesNewRoman"/>
          <w:sz w:val="24"/>
          <w:szCs w:val="24"/>
        </w:rPr>
      </w:pPr>
      <w:r>
        <w:rPr>
          <w:rFonts w:ascii="TimesNewRoman" w:hAnsi="TimesNewRoman" w:cs="TimesNewRoman"/>
          <w:sz w:val="24"/>
          <w:szCs w:val="24"/>
        </w:rPr>
        <w:t>the inconsistencies and unreliability of that approach. Environment product declarations (EPDs)</w:t>
      </w:r>
    </w:p>
    <w:p w14:paraId="33D78E16" w14:textId="77777777" w:rsidR="004F7450" w:rsidRDefault="004F7450" w:rsidP="004F7450">
      <w:pPr>
        <w:autoSpaceDE w:val="0"/>
        <w:autoSpaceDN w:val="0"/>
        <w:adjustRightInd w:val="0"/>
        <w:spacing w:after="0" w:line="480" w:lineRule="auto"/>
        <w:rPr>
          <w:rFonts w:ascii="TimesNewRoman" w:hAnsi="TimesNewRoman" w:cs="TimesNewRoman"/>
          <w:sz w:val="24"/>
          <w:szCs w:val="24"/>
        </w:rPr>
      </w:pPr>
      <w:r>
        <w:rPr>
          <w:rFonts w:ascii="TimesNewRoman" w:hAnsi="TimesNewRoman" w:cs="TimesNewRoman"/>
          <w:sz w:val="24"/>
          <w:szCs w:val="24"/>
        </w:rPr>
        <w:t>are newer measurement tools that address the lack of consistency of the life cycle assessment</w:t>
      </w:r>
    </w:p>
    <w:p w14:paraId="6F72A2A7" w14:textId="77777777" w:rsidR="004F7450" w:rsidRDefault="004F7450" w:rsidP="004F7450">
      <w:pPr>
        <w:autoSpaceDE w:val="0"/>
        <w:autoSpaceDN w:val="0"/>
        <w:adjustRightInd w:val="0"/>
        <w:spacing w:after="0" w:line="480" w:lineRule="auto"/>
        <w:rPr>
          <w:rFonts w:ascii="TimesNewRoman" w:hAnsi="TimesNewRoman" w:cs="TimesNewRoman"/>
          <w:sz w:val="24"/>
          <w:szCs w:val="24"/>
        </w:rPr>
      </w:pPr>
      <w:r>
        <w:rPr>
          <w:rFonts w:ascii="TimesNewRoman" w:hAnsi="TimesNewRoman" w:cs="TimesNewRoman"/>
          <w:sz w:val="24"/>
          <w:szCs w:val="24"/>
        </w:rPr>
        <w:t>approach. EPDs are bound by industry defined standard that can be easily compared at local and</w:t>
      </w:r>
    </w:p>
    <w:p w14:paraId="049C8EFE" w14:textId="77777777" w:rsidR="004F7450" w:rsidRDefault="004F7450" w:rsidP="004F7450">
      <w:pPr>
        <w:autoSpaceDE w:val="0"/>
        <w:autoSpaceDN w:val="0"/>
        <w:adjustRightInd w:val="0"/>
        <w:spacing w:after="0" w:line="480" w:lineRule="auto"/>
        <w:rPr>
          <w:rFonts w:ascii="TimesNewRoman" w:hAnsi="TimesNewRoman" w:cs="TimesNewRoman"/>
          <w:sz w:val="24"/>
          <w:szCs w:val="24"/>
        </w:rPr>
      </w:pPr>
      <w:r>
        <w:rPr>
          <w:rFonts w:ascii="TimesNewRoman" w:hAnsi="TimesNewRoman" w:cs="TimesNewRoman"/>
          <w:sz w:val="24"/>
          <w:szCs w:val="24"/>
        </w:rPr>
        <w:t xml:space="preserve">state levels. </w:t>
      </w:r>
    </w:p>
    <w:p w14:paraId="18401045" w14:textId="7A3167B2" w:rsidR="004F7450" w:rsidRDefault="004F7450" w:rsidP="004F7450">
      <w:pPr>
        <w:autoSpaceDE w:val="0"/>
        <w:autoSpaceDN w:val="0"/>
        <w:adjustRightInd w:val="0"/>
        <w:spacing w:after="0" w:line="480" w:lineRule="auto"/>
        <w:rPr>
          <w:rFonts w:ascii="TimesNewRoman" w:hAnsi="TimesNewRoman" w:cs="TimesNewRoman"/>
          <w:sz w:val="24"/>
          <w:szCs w:val="24"/>
        </w:rPr>
      </w:pPr>
      <w:r>
        <w:rPr>
          <w:rFonts w:ascii="TimesNewRoman" w:hAnsi="TimesNewRoman" w:cs="TimesNewRoman"/>
          <w:sz w:val="24"/>
          <w:szCs w:val="24"/>
        </w:rPr>
        <w:t xml:space="preserve">       The research paper sought out to combine the reliability of the EPDs environmental impact analysis and the economic analysis into an overall performance number. The social impact was ignored due to the difficulty of quantifying the data. The environmental analysis of the pavement ranges from, “acquisition of pavement raw materials; transportation of raw materials; manufacturing of pavement mixes; and transportation of mixes to the site location.” (</w:t>
      </w:r>
      <w:proofErr w:type="spellStart"/>
      <w:r>
        <w:rPr>
          <w:rFonts w:ascii="TimesNewRoman" w:hAnsi="TimesNewRoman" w:cs="TimesNewRoman"/>
          <w:sz w:val="24"/>
          <w:szCs w:val="24"/>
        </w:rPr>
        <w:t>Subedi</w:t>
      </w:r>
      <w:proofErr w:type="spellEnd"/>
      <w:r>
        <w:rPr>
          <w:rFonts w:ascii="TimesNewRoman" w:hAnsi="TimesNewRoman" w:cs="TimesNewRoman"/>
          <w:sz w:val="24"/>
          <w:szCs w:val="24"/>
        </w:rPr>
        <w:t xml:space="preserve"> et al. 2018) The first three phases are covered under the EPD Analysis and the last phase is considered the transportation analysis. The EPDs consider impacts such as global warming potential, acidification potential, eutrophication potential, ozone depletion potential, photochemical ozone creation potential and nonrenewable energy consumption. The </w:t>
      </w:r>
      <w:r>
        <w:rPr>
          <w:rFonts w:ascii="TimesNewRoman" w:hAnsi="TimesNewRoman" w:cs="TimesNewRoman"/>
          <w:sz w:val="24"/>
          <w:szCs w:val="24"/>
        </w:rPr>
        <w:lastRenderedPageBreak/>
        <w:t>transportation analysis considers the pollution created due to the trucks moving the final product to the construction site. The main factors that affect the environmental impact include the efficiency of the vehicle, the distance travelled, weight of the material and the number of vehicles. The values derived from the EPDs and the transportation analysis are normalized and combined to represent the overall environmental impact of the concrete mix. The economic impact considers the extraction of material and the cost of maintenance and rehabilitation. These values can be found within the EPD database or are assumed by comparing to similar alternative designs. Based on ASTM standards, the economic and environmental performance scores are converted into a common scale that then are combined into a final overall performance score.</w:t>
      </w:r>
    </w:p>
    <w:p w14:paraId="23E7FA5E" w14:textId="2C30CDD2" w:rsidR="004F7450" w:rsidRDefault="004F7450" w:rsidP="004F7450">
      <w:pPr>
        <w:autoSpaceDE w:val="0"/>
        <w:autoSpaceDN w:val="0"/>
        <w:adjustRightInd w:val="0"/>
        <w:spacing w:after="0" w:line="480" w:lineRule="auto"/>
        <w:rPr>
          <w:rFonts w:ascii="TimesNewRoman" w:hAnsi="TimesNewRoman" w:cs="TimesNewRoman"/>
          <w:sz w:val="24"/>
          <w:szCs w:val="24"/>
        </w:rPr>
      </w:pPr>
      <w:r>
        <w:rPr>
          <w:rFonts w:ascii="TimesNewRoman" w:hAnsi="TimesNewRoman" w:cs="TimesNewRoman"/>
          <w:sz w:val="24"/>
          <w:szCs w:val="24"/>
        </w:rPr>
        <w:t xml:space="preserve">          Having a standardized framework to compare the sustainability of different pavement design </w:t>
      </w:r>
      <w:proofErr w:type="spellStart"/>
      <w:r>
        <w:rPr>
          <w:rFonts w:ascii="TimesNewRoman" w:hAnsi="TimesNewRoman" w:cs="TimesNewRoman"/>
          <w:sz w:val="24"/>
          <w:szCs w:val="24"/>
        </w:rPr>
        <w:t>iscrucial</w:t>
      </w:r>
      <w:proofErr w:type="spellEnd"/>
      <w:r>
        <w:rPr>
          <w:rFonts w:ascii="TimesNewRoman" w:hAnsi="TimesNewRoman" w:cs="TimesNewRoman"/>
          <w:sz w:val="24"/>
          <w:szCs w:val="24"/>
        </w:rPr>
        <w:t xml:space="preserve"> in ensuring that the best option is chosen for a project based on economic and</w:t>
      </w:r>
    </w:p>
    <w:p w14:paraId="157CBAF2" w14:textId="77777777" w:rsidR="004F7450" w:rsidRDefault="004F7450" w:rsidP="004F7450">
      <w:pPr>
        <w:autoSpaceDE w:val="0"/>
        <w:autoSpaceDN w:val="0"/>
        <w:adjustRightInd w:val="0"/>
        <w:spacing w:after="0" w:line="480" w:lineRule="auto"/>
        <w:rPr>
          <w:rFonts w:ascii="TimesNewRoman" w:hAnsi="TimesNewRoman" w:cs="TimesNewRoman"/>
          <w:sz w:val="24"/>
          <w:szCs w:val="24"/>
        </w:rPr>
      </w:pPr>
      <w:r>
        <w:rPr>
          <w:rFonts w:ascii="TimesNewRoman" w:hAnsi="TimesNewRoman" w:cs="TimesNewRoman"/>
          <w:sz w:val="24"/>
          <w:szCs w:val="24"/>
        </w:rPr>
        <w:t>environmental needs. Current techniques have used the life cycle assessments to achieve this</w:t>
      </w:r>
    </w:p>
    <w:p w14:paraId="6D1CA4BC" w14:textId="77777777" w:rsidR="004F7450" w:rsidRDefault="004F7450" w:rsidP="004F7450">
      <w:pPr>
        <w:autoSpaceDE w:val="0"/>
        <w:autoSpaceDN w:val="0"/>
        <w:adjustRightInd w:val="0"/>
        <w:spacing w:after="0" w:line="480" w:lineRule="auto"/>
        <w:rPr>
          <w:rFonts w:ascii="TimesNewRoman" w:hAnsi="TimesNewRoman" w:cs="TimesNewRoman"/>
          <w:sz w:val="24"/>
          <w:szCs w:val="24"/>
        </w:rPr>
      </w:pPr>
      <w:r>
        <w:rPr>
          <w:rFonts w:ascii="TimesNewRoman" w:hAnsi="TimesNewRoman" w:cs="TimesNewRoman"/>
          <w:sz w:val="24"/>
          <w:szCs w:val="24"/>
        </w:rPr>
        <w:t>sustainably measurement but have proven to be inaccurate due to the inconsistent nature of the</w:t>
      </w:r>
    </w:p>
    <w:p w14:paraId="0AC40AD2" w14:textId="52625763" w:rsidR="00DD2F4E" w:rsidRDefault="004F7450" w:rsidP="004F7450">
      <w:pPr>
        <w:autoSpaceDE w:val="0"/>
        <w:autoSpaceDN w:val="0"/>
        <w:adjustRightInd w:val="0"/>
        <w:spacing w:after="0" w:line="480" w:lineRule="auto"/>
        <w:rPr>
          <w:rFonts w:ascii="TimesNewRoman" w:hAnsi="TimesNewRoman" w:cs="TimesNewRoman"/>
          <w:sz w:val="24"/>
          <w:szCs w:val="24"/>
        </w:rPr>
      </w:pPr>
      <w:r>
        <w:rPr>
          <w:rFonts w:ascii="TimesNewRoman" w:hAnsi="TimesNewRoman" w:cs="TimesNewRoman"/>
          <w:sz w:val="24"/>
          <w:szCs w:val="24"/>
        </w:rPr>
        <w:t xml:space="preserve">LCAs. Depending on the assumption and methodologies used to rate the concrete mix could yield different performance results. This makes it difficult to accurately compare different pavement designs. With the emergence of standardized EPDs, a new technique was developed to create more consistent comparison of pavement design. An engineer can now compare the impact of creating a denser mix of concrete on the </w:t>
      </w:r>
      <w:proofErr w:type="spellStart"/>
      <w:r>
        <w:rPr>
          <w:rFonts w:ascii="TimesNewRoman" w:hAnsi="TimesNewRoman" w:cs="TimesNewRoman"/>
          <w:sz w:val="24"/>
          <w:szCs w:val="24"/>
        </w:rPr>
        <w:t>over all</w:t>
      </w:r>
      <w:proofErr w:type="spellEnd"/>
      <w:r>
        <w:rPr>
          <w:rFonts w:ascii="TimesNewRoman" w:hAnsi="TimesNewRoman" w:cs="TimesNewRoman"/>
          <w:sz w:val="24"/>
          <w:szCs w:val="24"/>
        </w:rPr>
        <w:t xml:space="preserve"> pollution created due to the delivery of the mix. As the weight of the truck increases, the more fuel will be used on the trip and therefore create more CO2 pollution. At this point, alternatives can be considered where different parameters are altered to improve the sustainability of the product. The analysis of the process makes it easier for designers to select cost effective solutions and for consumers to find products that meet their economic and environmental needs.</w:t>
      </w:r>
    </w:p>
    <w:p w14:paraId="68C73FDA" w14:textId="77777777" w:rsidR="000920D5" w:rsidRDefault="000920D5" w:rsidP="000920D5">
      <w:pPr>
        <w:autoSpaceDE w:val="0"/>
        <w:autoSpaceDN w:val="0"/>
        <w:adjustRightInd w:val="0"/>
        <w:spacing w:after="0" w:line="240" w:lineRule="auto"/>
        <w:rPr>
          <w:rFonts w:ascii="TimesNewRoman,Bold" w:hAnsi="TimesNewRoman,Bold" w:cs="TimesNewRoman,Bold"/>
          <w:b/>
          <w:bCs/>
          <w:color w:val="000000"/>
          <w:sz w:val="24"/>
          <w:szCs w:val="24"/>
        </w:rPr>
      </w:pPr>
      <w:r>
        <w:rPr>
          <w:rFonts w:ascii="TimesNewRoman,Bold" w:hAnsi="TimesNewRoman,Bold" w:cs="TimesNewRoman,Bold"/>
          <w:b/>
          <w:bCs/>
          <w:color w:val="000000"/>
          <w:sz w:val="24"/>
          <w:szCs w:val="24"/>
        </w:rPr>
        <w:lastRenderedPageBreak/>
        <w:t>Citations:</w:t>
      </w:r>
    </w:p>
    <w:p w14:paraId="3EE96A6F" w14:textId="77777777" w:rsidR="000920D5" w:rsidRDefault="000920D5" w:rsidP="000920D5">
      <w:pPr>
        <w:autoSpaceDE w:val="0"/>
        <w:autoSpaceDN w:val="0"/>
        <w:adjustRightInd w:val="0"/>
        <w:spacing w:after="0" w:line="240" w:lineRule="auto"/>
        <w:rPr>
          <w:rFonts w:ascii="TimesNewRoman" w:hAnsi="TimesNewRoman" w:cs="TimesNewRoman"/>
          <w:color w:val="000000"/>
          <w:sz w:val="24"/>
          <w:szCs w:val="24"/>
        </w:rPr>
      </w:pPr>
      <w:r>
        <w:rPr>
          <w:rFonts w:ascii="TimesNewRoman" w:hAnsi="TimesNewRoman" w:cs="TimesNewRoman"/>
          <w:color w:val="000000"/>
          <w:sz w:val="24"/>
          <w:szCs w:val="24"/>
        </w:rPr>
        <w:t xml:space="preserve">1. Sujata </w:t>
      </w:r>
      <w:proofErr w:type="spellStart"/>
      <w:r>
        <w:rPr>
          <w:rFonts w:ascii="TimesNewRoman" w:hAnsi="TimesNewRoman" w:cs="TimesNewRoman"/>
          <w:color w:val="000000"/>
          <w:sz w:val="24"/>
          <w:szCs w:val="24"/>
        </w:rPr>
        <w:t>Subedi</w:t>
      </w:r>
      <w:proofErr w:type="spellEnd"/>
      <w:r>
        <w:rPr>
          <w:rFonts w:ascii="TimesNewRoman" w:hAnsi="TimesNewRoman" w:cs="TimesNewRoman"/>
          <w:color w:val="000000"/>
          <w:sz w:val="24"/>
          <w:szCs w:val="24"/>
        </w:rPr>
        <w:t xml:space="preserve">, </w:t>
      </w:r>
      <w:proofErr w:type="spellStart"/>
      <w:r>
        <w:rPr>
          <w:rFonts w:ascii="TimesNewRoman" w:hAnsi="TimesNewRoman" w:cs="TimesNewRoman"/>
          <w:color w:val="000000"/>
          <w:sz w:val="24"/>
          <w:szCs w:val="24"/>
        </w:rPr>
        <w:t>Marwa</w:t>
      </w:r>
      <w:proofErr w:type="spellEnd"/>
      <w:r>
        <w:rPr>
          <w:rFonts w:ascii="TimesNewRoman" w:hAnsi="TimesNewRoman" w:cs="TimesNewRoman"/>
          <w:color w:val="000000"/>
          <w:sz w:val="24"/>
          <w:szCs w:val="24"/>
        </w:rPr>
        <w:t xml:space="preserve"> M. Hassan, M.ASCE, </w:t>
      </w:r>
      <w:proofErr w:type="spellStart"/>
      <w:r>
        <w:rPr>
          <w:rFonts w:ascii="TimesNewRoman" w:hAnsi="TimesNewRoman" w:cs="TimesNewRoman"/>
          <w:color w:val="000000"/>
          <w:sz w:val="24"/>
          <w:szCs w:val="24"/>
        </w:rPr>
        <w:t>Qiandong</w:t>
      </w:r>
      <w:proofErr w:type="spellEnd"/>
      <w:r>
        <w:rPr>
          <w:rFonts w:ascii="TimesNewRoman" w:hAnsi="TimesNewRoman" w:cs="TimesNewRoman"/>
          <w:color w:val="000000"/>
          <w:sz w:val="24"/>
          <w:szCs w:val="24"/>
        </w:rPr>
        <w:t xml:space="preserve"> </w:t>
      </w:r>
      <w:proofErr w:type="spellStart"/>
      <w:r>
        <w:rPr>
          <w:rFonts w:ascii="TimesNewRoman" w:hAnsi="TimesNewRoman" w:cs="TimesNewRoman"/>
          <w:color w:val="000000"/>
          <w:sz w:val="24"/>
          <w:szCs w:val="24"/>
        </w:rPr>
        <w:t>Nie</w:t>
      </w:r>
      <w:proofErr w:type="spellEnd"/>
      <w:r>
        <w:rPr>
          <w:rFonts w:ascii="TimesNewRoman" w:hAnsi="TimesNewRoman" w:cs="TimesNewRoman"/>
          <w:color w:val="000000"/>
          <w:sz w:val="24"/>
          <w:szCs w:val="24"/>
        </w:rPr>
        <w:t xml:space="preserve">, </w:t>
      </w:r>
      <w:proofErr w:type="spellStart"/>
      <w:r>
        <w:rPr>
          <w:rFonts w:ascii="TimesNewRoman" w:hAnsi="TimesNewRoman" w:cs="TimesNewRoman"/>
          <w:color w:val="000000"/>
          <w:sz w:val="24"/>
          <w:szCs w:val="24"/>
        </w:rPr>
        <w:t>Neveen</w:t>
      </w:r>
      <w:proofErr w:type="spellEnd"/>
      <w:r>
        <w:rPr>
          <w:rFonts w:ascii="TimesNewRoman" w:hAnsi="TimesNewRoman" w:cs="TimesNewRoman"/>
          <w:color w:val="000000"/>
          <w:sz w:val="24"/>
          <w:szCs w:val="24"/>
        </w:rPr>
        <w:t xml:space="preserve"> S. </w:t>
      </w:r>
      <w:proofErr w:type="spellStart"/>
      <w:r>
        <w:rPr>
          <w:rFonts w:ascii="TimesNewRoman" w:hAnsi="TimesNewRoman" w:cs="TimesNewRoman"/>
          <w:color w:val="000000"/>
          <w:sz w:val="24"/>
          <w:szCs w:val="24"/>
        </w:rPr>
        <w:t>Talaat</w:t>
      </w:r>
      <w:proofErr w:type="spellEnd"/>
      <w:r>
        <w:rPr>
          <w:rFonts w:ascii="TimesNewRoman" w:hAnsi="TimesNewRoman" w:cs="TimesNewRoman"/>
          <w:color w:val="000000"/>
          <w:sz w:val="24"/>
          <w:szCs w:val="24"/>
        </w:rPr>
        <w:t xml:space="preserve"> Soliman,</w:t>
      </w:r>
    </w:p>
    <w:p w14:paraId="1BA4EECE" w14:textId="77777777" w:rsidR="000920D5" w:rsidRDefault="000920D5" w:rsidP="000920D5">
      <w:pPr>
        <w:autoSpaceDE w:val="0"/>
        <w:autoSpaceDN w:val="0"/>
        <w:adjustRightInd w:val="0"/>
        <w:spacing w:after="0" w:line="240" w:lineRule="auto"/>
        <w:rPr>
          <w:rFonts w:ascii="TimesNewRoman" w:hAnsi="TimesNewRoman" w:cs="TimesNewRoman"/>
          <w:color w:val="000000"/>
          <w:sz w:val="24"/>
          <w:szCs w:val="24"/>
        </w:rPr>
      </w:pPr>
      <w:r>
        <w:rPr>
          <w:rFonts w:ascii="TimesNewRoman" w:hAnsi="TimesNewRoman" w:cs="TimesNewRoman"/>
          <w:color w:val="000000"/>
          <w:sz w:val="24"/>
          <w:szCs w:val="24"/>
        </w:rPr>
        <w:t xml:space="preserve">Kevin Gaspard, and Tyson </w:t>
      </w:r>
      <w:proofErr w:type="spellStart"/>
      <w:r>
        <w:rPr>
          <w:rFonts w:ascii="TimesNewRoman" w:hAnsi="TimesNewRoman" w:cs="TimesNewRoman"/>
          <w:color w:val="000000"/>
          <w:sz w:val="24"/>
          <w:szCs w:val="24"/>
        </w:rPr>
        <w:t>Rupnow</w:t>
      </w:r>
      <w:proofErr w:type="spellEnd"/>
      <w:r>
        <w:rPr>
          <w:rFonts w:ascii="TimesNewRoman" w:hAnsi="TimesNewRoman" w:cs="TimesNewRoman"/>
          <w:color w:val="000000"/>
          <w:sz w:val="24"/>
          <w:szCs w:val="24"/>
        </w:rPr>
        <w:t>. 2018. “Decision-Making Tool for Incorporating</w:t>
      </w:r>
    </w:p>
    <w:p w14:paraId="216A1D72" w14:textId="77777777" w:rsidR="000920D5" w:rsidRDefault="000920D5" w:rsidP="000920D5">
      <w:pPr>
        <w:autoSpaceDE w:val="0"/>
        <w:autoSpaceDN w:val="0"/>
        <w:adjustRightInd w:val="0"/>
        <w:spacing w:after="0" w:line="240" w:lineRule="auto"/>
        <w:rPr>
          <w:rFonts w:ascii="TimesNewRoman,Italic" w:hAnsi="TimesNewRoman,Italic" w:cs="TimesNewRoman,Italic"/>
          <w:i/>
          <w:iCs/>
          <w:color w:val="000000"/>
          <w:sz w:val="24"/>
          <w:szCs w:val="24"/>
        </w:rPr>
      </w:pPr>
      <w:r>
        <w:rPr>
          <w:rFonts w:ascii="TimesNewRoman" w:hAnsi="TimesNewRoman" w:cs="TimesNewRoman"/>
          <w:color w:val="000000"/>
          <w:sz w:val="24"/>
          <w:szCs w:val="24"/>
        </w:rPr>
        <w:t xml:space="preserve">Cradle-to-Gate Sustainability Measures into Pavement Design” </w:t>
      </w:r>
      <w:r>
        <w:rPr>
          <w:rFonts w:ascii="TimesNewRoman,Italic" w:hAnsi="TimesNewRoman,Italic" w:cs="TimesNewRoman,Italic"/>
          <w:i/>
          <w:iCs/>
          <w:color w:val="000000"/>
          <w:sz w:val="24"/>
          <w:szCs w:val="24"/>
        </w:rPr>
        <w:t>Journal of</w:t>
      </w:r>
    </w:p>
    <w:p w14:paraId="7EF85243" w14:textId="77777777" w:rsidR="000920D5" w:rsidRDefault="000920D5" w:rsidP="000920D5">
      <w:pPr>
        <w:autoSpaceDE w:val="0"/>
        <w:autoSpaceDN w:val="0"/>
        <w:adjustRightInd w:val="0"/>
        <w:spacing w:after="0" w:line="240" w:lineRule="auto"/>
        <w:rPr>
          <w:rFonts w:ascii="TimesNewRoman" w:hAnsi="TimesNewRoman" w:cs="TimesNewRoman"/>
          <w:color w:val="000000"/>
          <w:sz w:val="24"/>
          <w:szCs w:val="24"/>
        </w:rPr>
      </w:pPr>
      <w:r>
        <w:rPr>
          <w:rFonts w:ascii="TimesNewRoman,Italic" w:hAnsi="TimesNewRoman,Italic" w:cs="TimesNewRoman,Italic"/>
          <w:i/>
          <w:iCs/>
          <w:color w:val="000000"/>
          <w:sz w:val="24"/>
          <w:szCs w:val="24"/>
        </w:rPr>
        <w:t>Transportation Engineering</w:t>
      </w:r>
      <w:r>
        <w:rPr>
          <w:rFonts w:ascii="TimesNewRoman" w:hAnsi="TimesNewRoman" w:cs="TimesNewRoman"/>
          <w:color w:val="000000"/>
          <w:sz w:val="24"/>
          <w:szCs w:val="24"/>
        </w:rPr>
        <w:t>, December, Volume 144 Issue 4.</w:t>
      </w:r>
    </w:p>
    <w:p w14:paraId="21BF6495" w14:textId="1778C8DB" w:rsidR="000920D5" w:rsidRPr="004F7450" w:rsidRDefault="000920D5" w:rsidP="000920D5">
      <w:pPr>
        <w:autoSpaceDE w:val="0"/>
        <w:autoSpaceDN w:val="0"/>
        <w:adjustRightInd w:val="0"/>
        <w:spacing w:after="0" w:line="480" w:lineRule="auto"/>
        <w:rPr>
          <w:rFonts w:ascii="TimesNewRoman" w:hAnsi="TimesNewRoman" w:cs="TimesNewRoman"/>
          <w:sz w:val="24"/>
          <w:szCs w:val="24"/>
        </w:rPr>
      </w:pPr>
      <w:r>
        <w:rPr>
          <w:rFonts w:ascii="TimesNewRoman" w:hAnsi="TimesNewRoman" w:cs="TimesNewRoman"/>
          <w:color w:val="0563C2"/>
          <w:sz w:val="24"/>
          <w:szCs w:val="24"/>
        </w:rPr>
        <w:t>https://ascelibrary.org/doi/pdf/10.1061/JPEODX.0000082</w:t>
      </w:r>
      <w:bookmarkStart w:id="0" w:name="_GoBack"/>
      <w:bookmarkEnd w:id="0"/>
    </w:p>
    <w:sectPr w:rsidR="000920D5" w:rsidRPr="004F745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imesNewRoman">
    <w:altName w:val="Times New Roman"/>
    <w:panose1 w:val="00000000000000000000"/>
    <w:charset w:val="00"/>
    <w:family w:val="auto"/>
    <w:notTrueType/>
    <w:pitch w:val="default"/>
    <w:sig w:usb0="00000003" w:usb1="00000000" w:usb2="00000000" w:usb3="00000000" w:csb0="00000001" w:csb1="00000000"/>
  </w:font>
  <w:font w:name="TimesNewRoman,Bold">
    <w:altName w:val="Times New Roman"/>
    <w:panose1 w:val="00000000000000000000"/>
    <w:charset w:val="00"/>
    <w:family w:val="auto"/>
    <w:notTrueType/>
    <w:pitch w:val="default"/>
    <w:sig w:usb0="00000003" w:usb1="00000000" w:usb2="00000000" w:usb3="00000000" w:csb0="00000001" w:csb1="00000000"/>
  </w:font>
  <w:font w:name="TimesNewRoman,Italic">
    <w:altName w:val="Times New Roman"/>
    <w:panose1 w:val="00000000000000000000"/>
    <w:charset w:val="00"/>
    <w:family w:val="auto"/>
    <w:notTrueType/>
    <w:pitch w:val="default"/>
    <w:sig w:usb0="00000003" w:usb1="00000000" w:usb2="00000000" w:usb3="00000000" w:csb0="00000001"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F7450"/>
    <w:rsid w:val="000920D5"/>
    <w:rsid w:val="004F7450"/>
    <w:rsid w:val="00B70E6D"/>
    <w:rsid w:val="00DD2F4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7E6DF53"/>
  <w15:chartTrackingRefBased/>
  <w15:docId w15:val="{4B2EEDA7-34FE-4376-8494-85CE6C5AE0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13</TotalTime>
  <Pages>3</Pages>
  <Words>675</Words>
  <Characters>3849</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Alturki, Ramzi M.</dc:creator>
  <cp:keywords/>
  <dc:description/>
  <cp:lastModifiedBy>Alturki, Ramzi M.</cp:lastModifiedBy>
  <cp:revision>2</cp:revision>
  <dcterms:created xsi:type="dcterms:W3CDTF">2020-03-01T18:33:00Z</dcterms:created>
  <dcterms:modified xsi:type="dcterms:W3CDTF">2020-03-01T18:47:00Z</dcterms:modified>
</cp:coreProperties>
</file>